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46" w:rsidRDefault="00180146">
      <w:bookmarkStart w:id="0" w:name="_GoBack"/>
      <w:r>
        <w:rPr>
          <w:rFonts w:hint="eastAsia"/>
        </w:rPr>
        <w:t>101.08.21</w:t>
      </w:r>
      <w:r w:rsidRPr="00180146">
        <w:rPr>
          <w:rFonts w:ascii="新細明體" w:eastAsia="新細明體" w:hAnsi="新細明體" w:cs="新細明體"/>
          <w:kern w:val="0"/>
          <w:szCs w:val="24"/>
        </w:rPr>
        <w:t>因申請損失補償費用事件提起訴願</w:t>
      </w:r>
      <w:bookmarkEnd w:id="0"/>
    </w:p>
    <w:tbl>
      <w:tblPr>
        <w:tblW w:w="91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7725"/>
      </w:tblGrid>
      <w:tr w:rsidR="00180146" w:rsidRPr="00180146" w:rsidTr="00180146">
        <w:trPr>
          <w:trHeight w:val="330"/>
          <w:jc w:val="center"/>
        </w:trPr>
        <w:tc>
          <w:tcPr>
            <w:tcW w:w="142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146" w:rsidRPr="00180146" w:rsidRDefault="00180146" w:rsidP="0018014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146">
              <w:rPr>
                <w:rFonts w:ascii="新細明體" w:eastAsia="新細明體" w:hAnsi="新細明體" w:cs="新細明體"/>
                <w:kern w:val="0"/>
                <w:szCs w:val="24"/>
              </w:rPr>
              <w:t>案　　號：</w:t>
            </w:r>
          </w:p>
        </w:tc>
        <w:tc>
          <w:tcPr>
            <w:tcW w:w="772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146" w:rsidRPr="00180146" w:rsidRDefault="00180146" w:rsidP="001801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146">
              <w:rPr>
                <w:rFonts w:ascii="新細明體" w:eastAsia="新細明體" w:hAnsi="新細明體" w:cs="新細明體"/>
                <w:kern w:val="0"/>
                <w:szCs w:val="24"/>
              </w:rPr>
              <w:t>1017080585</w:t>
            </w:r>
          </w:p>
        </w:tc>
      </w:tr>
      <w:tr w:rsidR="00180146" w:rsidRPr="00180146" w:rsidTr="00180146">
        <w:trPr>
          <w:trHeight w:val="330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146" w:rsidRPr="00180146" w:rsidRDefault="00180146" w:rsidP="0018014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146">
              <w:rPr>
                <w:rFonts w:ascii="新細明體" w:eastAsia="新細明體" w:hAnsi="新細明體" w:cs="新細明體"/>
                <w:kern w:val="0"/>
                <w:szCs w:val="24"/>
              </w:rPr>
              <w:t>要　　旨：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146" w:rsidRPr="00180146" w:rsidRDefault="00180146" w:rsidP="001801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146">
              <w:rPr>
                <w:rFonts w:ascii="新細明體" w:eastAsia="新細明體" w:hAnsi="新細明體" w:cs="新細明體"/>
                <w:kern w:val="0"/>
                <w:szCs w:val="24"/>
              </w:rPr>
              <w:t>因申請損失補償費用事件提起訴願</w:t>
            </w:r>
          </w:p>
        </w:tc>
      </w:tr>
      <w:tr w:rsidR="00180146" w:rsidRPr="00180146" w:rsidTr="00180146">
        <w:trPr>
          <w:trHeight w:val="330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146" w:rsidRPr="00180146" w:rsidRDefault="00180146" w:rsidP="0018014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146">
              <w:rPr>
                <w:rFonts w:ascii="新細明體" w:eastAsia="新細明體" w:hAnsi="新細明體" w:cs="新細明體"/>
                <w:kern w:val="0"/>
                <w:szCs w:val="24"/>
              </w:rPr>
              <w:t>發文日期：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146" w:rsidRPr="00180146" w:rsidRDefault="00180146" w:rsidP="001801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146">
              <w:rPr>
                <w:rFonts w:ascii="新細明體" w:eastAsia="新細明體" w:hAnsi="新細明體" w:cs="新細明體"/>
                <w:kern w:val="0"/>
                <w:szCs w:val="24"/>
              </w:rPr>
              <w:t>民國 101 年 08 月 21 日</w:t>
            </w:r>
          </w:p>
        </w:tc>
      </w:tr>
      <w:tr w:rsidR="00180146" w:rsidRPr="00180146" w:rsidTr="00180146">
        <w:trPr>
          <w:trHeight w:val="330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146" w:rsidRPr="00180146" w:rsidRDefault="00180146" w:rsidP="0018014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146">
              <w:rPr>
                <w:rFonts w:ascii="新細明體" w:eastAsia="新細明體" w:hAnsi="新細明體" w:cs="新細明體"/>
                <w:kern w:val="0"/>
                <w:szCs w:val="24"/>
              </w:rPr>
              <w:t>發文字號：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146" w:rsidRPr="00180146" w:rsidRDefault="00180146" w:rsidP="001801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80146">
              <w:rPr>
                <w:rFonts w:ascii="新細明體" w:eastAsia="新細明體" w:hAnsi="新細明體" w:cs="新細明體"/>
                <w:kern w:val="0"/>
                <w:szCs w:val="24"/>
              </w:rPr>
              <w:t>北府訴決字</w:t>
            </w:r>
            <w:proofErr w:type="gramEnd"/>
            <w:r w:rsidRPr="00180146">
              <w:rPr>
                <w:rFonts w:ascii="新細明體" w:eastAsia="新細明體" w:hAnsi="新細明體" w:cs="新細明體"/>
                <w:kern w:val="0"/>
                <w:szCs w:val="24"/>
              </w:rPr>
              <w:t>第1011792895號</w:t>
            </w:r>
          </w:p>
        </w:tc>
      </w:tr>
      <w:tr w:rsidR="00180146" w:rsidRPr="00180146" w:rsidTr="00180146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146" w:rsidRPr="00180146" w:rsidRDefault="00180146" w:rsidP="0018014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" w:history="1">
              <w:r w:rsidRPr="00180146">
                <w:rPr>
                  <w:rFonts w:ascii="新細明體" w:eastAsia="新細明體" w:hAnsi="新細明體" w:cs="新細明體"/>
                  <w:kern w:val="0"/>
                  <w:szCs w:val="24"/>
                </w:rPr>
                <w:t>相關法條</w:t>
              </w:r>
            </w:hyperlink>
            <w:r w:rsidRPr="00180146">
              <w:rPr>
                <w:rFonts w:ascii="新細明體" w:eastAsia="新細明體" w:hAnsi="新細明體" w:cs="新細明體"/>
                <w:kern w:val="0"/>
                <w:szCs w:val="24"/>
              </w:rPr>
              <w:t>：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146" w:rsidRPr="00180146" w:rsidRDefault="00180146" w:rsidP="001801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history="1">
              <w:r w:rsidRPr="00180146">
                <w:rPr>
                  <w:rFonts w:ascii="新細明體" w:eastAsia="新細明體" w:hAnsi="新細明體" w:cs="新細明體"/>
                  <w:kern w:val="0"/>
                  <w:szCs w:val="24"/>
                </w:rPr>
                <w:t>刑事訴訟法 第 88 條</w:t>
              </w:r>
            </w:hyperlink>
            <w:r w:rsidRPr="0018014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7" w:history="1">
              <w:r w:rsidRPr="00180146">
                <w:rPr>
                  <w:rFonts w:ascii="新細明體" w:eastAsia="新細明體" w:hAnsi="新細明體" w:cs="新細明體"/>
                  <w:kern w:val="0"/>
                  <w:szCs w:val="24"/>
                </w:rPr>
                <w:t>國家賠償法 第 2 條</w:t>
              </w:r>
            </w:hyperlink>
            <w:r w:rsidRPr="0018014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8" w:history="1">
              <w:r w:rsidRPr="00180146">
                <w:rPr>
                  <w:rFonts w:ascii="新細明體" w:eastAsia="新細明體" w:hAnsi="新細明體" w:cs="新細明體"/>
                  <w:kern w:val="0"/>
                  <w:szCs w:val="24"/>
                </w:rPr>
                <w:t>警械使用條例 第 11、4 條</w:t>
              </w:r>
            </w:hyperlink>
          </w:p>
        </w:tc>
      </w:tr>
      <w:tr w:rsidR="00180146" w:rsidRPr="00180146" w:rsidTr="00180146">
        <w:trPr>
          <w:trHeight w:val="330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146" w:rsidRPr="00180146" w:rsidRDefault="00180146" w:rsidP="0018014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146">
              <w:rPr>
                <w:rFonts w:ascii="新細明體" w:eastAsia="新細明體" w:hAnsi="新細明體" w:cs="新細明體"/>
                <w:kern w:val="0"/>
                <w:szCs w:val="24"/>
              </w:rPr>
              <w:t>全　　文：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146" w:rsidRPr="00180146" w:rsidRDefault="00180146" w:rsidP="0018014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146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180146" w:rsidRPr="00180146" w:rsidTr="00180146">
        <w:trPr>
          <w:trHeight w:val="330"/>
          <w:jc w:val="center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新北市政府訴願決定書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　　　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　　　　　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　　案號：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1017080585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號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訴願人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許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法定代理人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許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原處分機關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新北市政府警察局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上列訴願人因申請損失補償費用事件，不服原處分機關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101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4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  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日北警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刑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字第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1013132643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號函所為之處分，提起訴願一案，本府依法決定如下：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主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文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訴願駁回。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事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實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緣訴外人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徐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（下稱徐員）於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97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12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21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日晚間未經其父親徐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許可擅自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駕駛其父親所有自用小客車（下稱系爭車輛），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載乘訴願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人與訴外人王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、羅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及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邱</w:t>
            </w:r>
            <w:proofErr w:type="gramEnd"/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三人，撞傷其父親後逃逸，經其父親報警後，改制前（下同）臺北縣警察局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中和第一分局即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通報線上巡邏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警察實施協尋，該分局所屬員警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彭</w:t>
            </w:r>
            <w:proofErr w:type="gramEnd"/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（下稱彭員）接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獲通報後，於當日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20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時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45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分許在臺北縣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市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路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段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85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巷附近攔查該系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爭車輛，並示意車內全部人員下車受檢，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詎料徐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員竟加速意圖衝撞彭員，致彭員生命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及身體於執行職務時突遭受危害，遂依警械使用條例第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4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條規定使用警械，惟因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彭</w:t>
            </w:r>
            <w:proofErr w:type="gramEnd"/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員為閃避撞擊，於身體重心不穩之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狀況下擊發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子彈，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致擊發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子彈著點有所偏差，係由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系爭車輛副駕駛座側玻璃進入，擊中訴願人（訴願人坐於副駕駛座）右頸後方，再穿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透左胸傷及肺左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上葉。訴願人遂於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98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20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日依警械使用條例第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11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項規定，以警察人員使用警械，因而致第三人受傷為由，向原處分機關申請補償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慰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撫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金新臺幣（下同）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250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萬元及實際支付之醫療費；因原處分機關自受理之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日起逾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  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個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月仍未就訴願人之申請案，作成准駁之行政處分，訴願人提起訴願，經本府以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101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3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21 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日北府訴決字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1001818848 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號訴願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決定：「原處分機關應於決定書送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達之次日起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60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日內速為准駁之行政處分。」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嗣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經原處分機關依本府訴願決定意旨，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審認訴願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人非屬警械使用條例第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11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項所稱第三人，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爰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以系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爭號函否准訴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願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人所請。訴願人不服，提起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本件訴願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，並據原處分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機關檢卷答辯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到府。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茲摘敘訴辯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意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旨於次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：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一、訴願意旨略謂：依同車乘客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邱</w:t>
            </w:r>
            <w:proofErr w:type="gramEnd"/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於板橋地方法院檢察署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98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7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10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日之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lastRenderedPageBreak/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偵訊筆錄、王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於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98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6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12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日之偵訊筆錄及羅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於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98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6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日偵訊筆錄，可知訴願人與前述同車乘客於本案發生時，均不斷要求徐員停車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受檢，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惟均被置之不理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，更被徐員以中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控鎖反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鎖於車內而無法下車，可以確知訴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願人與同車乘客，和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徐員間絕無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衝撞員警之犯意聯絡，且臺灣高等法院於判決理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由中明示「上開條例第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6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條後段及第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9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條規定，於本件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彭</w:t>
            </w:r>
            <w:proofErr w:type="gramEnd"/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使用警槍傷及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第三人之上訴人（即訴願人）一事」、「再者，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彭</w:t>
            </w:r>
            <w:proofErr w:type="gramEnd"/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使用警槍時，固有依上開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法文第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8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條規定，注意避免傷及包括上訴人（即訴願人）在內之第三人之義務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」，均足以認定訴願人係屬警械使用條例第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11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項所稱之「第三人」，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原處分機關以訴願人非屬警械使用條例第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11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項範疇為由，拒絕補償訴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願人醫療費與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慰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撫金，顯有錯誤，請依法撤銷原處分，並命原處分機關為補償等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語。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二、答辯意旨略謂：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（一）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查訴願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人對本局中和分局員警彭員提起殺人未遂、重傷、傷害致重傷、業務過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失至重傷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等罪嫌之刑事告訴，經臺灣板橋地方法院檢察署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98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偵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字第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10452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號詳為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調查，進行彈道比對與重建，認為本局所屬員警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彭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○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凱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係依法使用警械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，尚難以重傷害、傷害或過失傷害罪嫌相繩，而為不起訴處分在案，訴願人不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服上開不起訴處分而聲請再議，亦經臺灣高等法院檢察署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99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年上聲議字第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446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號認為，再議無理由而駁回處分。又訴願人另提起民事國家賠償訴訟，亦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經臺灣板橋地方法院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99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年國字第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25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號及臺灣高等法院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100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年度上國字第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18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號判決原告敗訴在案，足認本局中和分局員警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彭</w:t>
            </w:r>
            <w:proofErr w:type="gramEnd"/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並未違反警械使用條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例。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（二）再查本局中和分局員警彭員當時確係於執行警察職務時，為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上開系爭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車輛衝撞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而有危及其生命、身體之虞，始依法使用警械，是危及本局所屬員警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彭</w:t>
            </w:r>
            <w:proofErr w:type="gramEnd"/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生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命、身體之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之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對象為衝撞本局中和分局彭員之自小客車，彭員原亦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係朝系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爭車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車輛輪胎開槍，以阻止系爭車輛危及其生命、身體。訴願人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既為系爭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車輛之使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用人，自非警械使用條例第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11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項所指之「第三人」，訴願人自無該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條項之適用餘地。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（三）復查本局中和分局員警彭員使用警械之前，系爭車輛先遭徐員之父親騎機車擋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在系爭車輛之前而不停車，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嗣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於連續衝撞攔檢之員警陳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、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邱</w:t>
            </w:r>
            <w:proofErr w:type="gramEnd"/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、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彭</w:t>
            </w:r>
            <w:proofErr w:type="gramEnd"/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之過程中，未曾表明要下車，或要求徐員停車不要衝撞員警，此有訴願人警訊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筆錄供稱：「警察共攔停我們車共兩次，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…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…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」、「攔停的警察有穿制服，明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顯可判斷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出警察身分，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…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…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」、「當時徐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沒有停車受檢，徐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看見警方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出現攔停動作時，有假裝要停車將車速慢下來，後來又加速逃逸。當時我及車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內的人均無任何作為」。顯見訴願人及同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車之人均急欲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搭乘利用系爭車輛脫逃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，規避員警之攔查，而危及攔檢員警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彭</w:t>
            </w:r>
            <w:proofErr w:type="gramEnd"/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之生命、身體，導致員警依法用槍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，此年僅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14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歲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甫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與徐員共同對未滿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14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歲之少女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犯下私行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拘禁、殺人、遺棄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屍體之訴願人，當可認為兩人具有犯意之聯絡，行為之分擔，而具有共犯之結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構，豈能單純與路過之民眾，遭歹徒挾持相比擬，而視其為「無辜之善意第三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lastRenderedPageBreak/>
              <w:t xml:space="preserve">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人」，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故訴願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人並非警械使用條例第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11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項所指之第三人，自無該條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項之適用餘地，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本件訴願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為無理由，請予以駁回等語。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理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由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一、按警械使用條例第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4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條規定：「警察人員執行職務時，遇有下列各款情形之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一</w:t>
            </w:r>
            <w:proofErr w:type="gramEnd"/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者，得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使用警刀或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槍械：一、為避免非常變故，維持社會治安時。二、騷動行為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足以擾亂社會治安時。三、依法應逮捕、拘禁之人拒捕、脫逃，或他人助其拒捕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、脫逃時。四、警察人員所防衛之土地、建築物、工作物、車、船、航空器或他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人之生命、身體、自由、財產遭受危害或脅迫時。五、警察人員之生命、身體、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自由、裝備遭受強暴或脅迫，或有事實足認為有受危害之虞時。六、持有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兇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器有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滋事之虞者，已受警察人員告誡拋棄，仍不聽從時。七、有前條第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款、第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款之情形，非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使用警刀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、槍械不足以制止時。」同條例第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11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條規定：「警察人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員依本條例規定使用警械，因而致第三人受傷、死亡或財產損失者，應由各該級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政府支付醫療費、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慰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撫金、補償金或喪葬費。警察人員執行職務違反本條例使用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警械規定，因而致人受傷、死亡或財產損失者，由各該級政府支付醫療費、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慰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撫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金、補償金或喪葬費；其出於故意之行為，各該級政府得向其求償。前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項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醫</w:t>
            </w:r>
            <w:proofErr w:type="gramEnd"/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療費、慰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撫金、補償金或喪葬費之標準，由內政部定之。」又按警察職權行使法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6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項規定：「警察於公共場所或合法進入之場所，得對於下列各款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之人查證其身分：一、合理懷疑其有犯罪之嫌疑或有犯罪之虞者。二、有事實足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認其對已發生之犯罪或即將發生之犯罪知情者。三、有事實足認為防止其本人或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他人生命、身體之具體危害，有查證其身分之必要者。四、滯留於有事實足認有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陰謀、預備、著手實施重大犯罪或有人犯藏匿之處所者。五、滯留於應有停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（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居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）留許可之處所，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而無停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（居）留許可者。六、行經指定公共場所、路段及管制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站者。」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二、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次依警械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使用條例第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11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項規定，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參據警械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使用條例之立法意旨及支付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賠（補）償費用之精神，本條規定之「第三人」，須為警察人員合法使用警械對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象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以外之人，亦即無辜之善意第三人，如路過之民眾、遭歹徒挾持之人等；又同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車之人，如係單純之駕駛與乘客關係，即雙方並無意思聯絡，則駕駛人衝撞員警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，導致員警開槍，並致所搭載之乘客受有槍傷，該乘客仍可謂之無辜善意第三人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，惟如駕駛人與乘客為共犯關係，具有拒捕、脫逃之犯意聯絡，甚至乘客教唆駕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駛人衝撞員警等情，則難謂該乘客為本條所稱之第三人，經內政部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100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5 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18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日台內警字第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1000890243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號函釋在案。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三、卷查本件彭員係屬本府警察局中和第一分局員警，於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97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12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21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日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20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時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45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分許接獲無線電通報請求協助攔查徐員所駕駛之系爭車輛，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嗣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於臺北縣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市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街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30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巷口發現系爭車輛後，即開啟警鳴器追捕，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詎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徐員欲逃避追緝由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街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30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巷口右轉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路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段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85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巷附近時，因該處巷道狹窄，且其左方之對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向車道有來車通過，系爭車輛暫停於上開處所，彭員見狀上前拍打系爭車輛之右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前車窗，喝令車內全部人員下車受檢，惟未獲理會，彭員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乃移往系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爭車輛副駕駛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座近右側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後視鏡處拔出配槍，再度喝令車內全部人員下車受檢，仍未獲理會，按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lastRenderedPageBreak/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事發現場之路面狹窄，兩車同時通過時，需減速靠邊行駛，是當時彭員係於兩車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相會之狀況下，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站立於系爭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車輛之右前方，與系爭車輛之距離甚微，加以槍擊現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場之騎樓地面不平（高出水平約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15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公分），此時突遭徐員鬆弛油門駛向彭員站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立位置，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妄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顧彭員安危意圖衝擊，藉此躲避檢測乘隙逃逸，彭員生命身體顯已遭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受危害之虞，自得依專業判斷並遵循上開條例規定使用警械；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又系爭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車輛之駕駛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人徐員於案發當日，曾有多次拒檢駕車逃逸並有因而撞傷其他員警，經臺灣高等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法院判刑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9  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個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月確定，此有該院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98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年度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上易字第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2883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號判決附卷可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稽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；是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依刑事訴訟法第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88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項及第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3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項第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款規定，徐員已被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追呼為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犯罪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人，應以現行犯論；再按警察職權行使法第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6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條規定，警察合理懷疑其有犯罪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之嫌疑或有犯罪之虞者，可查驗其身分；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準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此，彭員接獲勤務通報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已知系爭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車輛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肇事逃逸且多次衝撞員警，主觀即知悉該系爭車輛具有相當危險性，彭員於執行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勤務時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身著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制服並表明身分，為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釐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清相關案情，要求車內全部人員下車查驗身分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，自屬有據；換言之，案發當日徐員駕駛系爭車輛肇事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逃逸後且警方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持續追逐中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多次衝撞員警，訴願人均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全程在場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，此為訴願人不爭執，訴願人既與現行犯徐員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同車，尚難謂為無辜之第三人，訴願人即有接受員警查驗身分之法定義務，訴願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人違反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上開受檢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義務，不符警械使用條例第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11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項所指之「第三人」，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是原處分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機關認訴願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人非該當警械使用條例第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11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項所稱「第三人」，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以系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爭號函否准訴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願人之申請，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揆諸首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揭法條規定及內政部函釋意旨，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洵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屬有據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。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四、至訴願人主張與同車乘客於本案發生時，均不斷要求該車駕駛徐員停車受檢，但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均遭徐員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置之不理，更被徐員以中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控鎖反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鎖於車內而無法下車，可以確知訴願人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與同車乘客和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徐員間絕無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衝撞員警之犯意聯絡云云為辯；惟依現行警械使用條例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規定，警察人員合法使用警械因而至第三人傷亡（第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11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項）及警察人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員非法使用警械因而致人傷亡（第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11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項），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均應適用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警械使用條例之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特別規定；本案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經查訴願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人以彭員前開使用警械過程不符警械使用條例第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6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之合理使用範圍，致其受有重傷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等情而提出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告訴，經臺灣板橋地方法院檢察官於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98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7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13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日以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98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年度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偵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字第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10452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號為不起訴後，訴願人不服聲請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再議，經臺灣高等法院檢察署於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99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22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日以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99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年度上聲議字第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144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6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號處分書駁回再議確定在案；且訴願人亦於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98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3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5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日依國家賠償法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項及警械使用條例第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11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項規定，向臺灣板橋地方法院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提起國家賠償之訴，復經該院及臺灣高等法院判決駁回，此亦有臺灣板橋地方法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院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99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年度國字第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25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號及臺灣高等法院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100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年度上字第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18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號判決書影本附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卷可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稽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；是上開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判決書均認彭員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使用槍械符合警械使用條例第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4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條之規定，且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其使用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槍械均未逾越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必要程度；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又觀之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訴願人於原處分機關所屬中和分局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（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98  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12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日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）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調查筆錄陳述，徐員之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父親約撥打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5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通以上行動電話給徐員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，徐員知道是其父親撥打，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均無接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聽；基此可知，徐員案發前並不知其父親報警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協尋，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復參諸訴外人邱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○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斌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於原處分機關所屬中和分局調查筆錄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（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97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12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月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22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日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）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作證指出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徐員於系爭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車上提及因害怕警察逮捕才不敢停車接受彭員盤查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lastRenderedPageBreak/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，又訴願人於本案案發前（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97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11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6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日）與徐員共犯殺人等案件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（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參照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臺灣板橋地方法院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98 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年度少護自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925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號、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98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年度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少觀字第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號宣示筆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錄影本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）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；衡諸一般經驗法則，徐員因害怕警察逮捕才不敢停車接受員警盤查，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訴願人亦應有因害怕警察逮捕，有欲利用徐員駕駛系爭車輛脫逃，規避員警攔查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之動機；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況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訴願人於臺灣板橋地方法院檢察署檢察官偵訊時自承，彭員持槍指向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系爭車輛玻璃要求下車受檢，車內無人要求徐員停車，僅於中槍後始要求下車等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語（臺灣板橋地方法院檢察署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98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年度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偵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字第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10452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號不起訴處分書參照）。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五、次查徐員欲逃避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追緝仍由</w:t>
            </w:r>
            <w:proofErr w:type="gramEnd"/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街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30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巷口右轉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路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段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85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巷附近時，因該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處巷道狹窄，且其左方之對向車道有來車通過，系爭車輛暫停於上開處所，彭員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見狀上前拍打系爭車輛之右前車窗，喝令車內全部人員下車受檢，惟未獲理會，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彭員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乃移往系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爭車輛副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駕駛座近右側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後視鏡處拔出配槍，再度喝令車內全部人員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下車受檢，仍未獲理會；據上情形以觀，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當時系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爭車輛正處於靜止狀態，倘若訴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願人及訴外人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邱</w:t>
            </w:r>
            <w:proofErr w:type="gramEnd"/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、王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、羅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等人當時確有遭徐員限制其等之行動自由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，其等皆可向執勤員警彭員呼救；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況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系爭車輛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之中控鎖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安全設計，經本府向車主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徐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求證，該車係一般汽車設計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之中控鎖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，車內任何乘客皆可任意由內向外開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起車門；是訴願人主張實有違一般經驗法則；且訴願人及訴外人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邱</w:t>
            </w:r>
            <w:proofErr w:type="gramEnd"/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、王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、羅</w:t>
            </w:r>
            <w:r w:rsidRPr="00180146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等人於警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詢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時均未曾提及有遭徐員以中控鎖鎖住阻止其等下車之情事，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於檢察官偵訊時始改稱遭徐員限制自由，顯與常理不符，是訴願人所訴，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均核無</w:t>
            </w:r>
            <w:proofErr w:type="gramEnd"/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可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採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。從而原處分機關審酌本件事發經過，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否准訴願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人之申請，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揆諸首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揭條文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規</w:t>
            </w:r>
            <w:proofErr w:type="gramEnd"/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定及內政部函釋意旨，並無不合，原處分應予維持。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六、綜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上論結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本件訴願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為無理由，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爰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依訴願法第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79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項規定，決定如主文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。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主任委員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邱惠美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陳慈陽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陳明燦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陳立夫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蔡進良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李承志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黃源銘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劉宗德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黃怡騰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王藹芸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王年水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黃愛玲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何瑞富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lastRenderedPageBreak/>
              <w:t>如不服本決定，得於決定書送達之次日起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  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個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月內向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臺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北高等行政法院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（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地址：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臺</w:t>
            </w:r>
            <w:proofErr w:type="gramEnd"/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北市和平東路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3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段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巷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號</w:t>
            </w:r>
            <w:proofErr w:type="gramStart"/>
            <w:r w:rsidRPr="00180146">
              <w:rPr>
                <w:rFonts w:ascii="өũ" w:eastAsia="細明體" w:hAnsi="өũ" w:cs="細明體"/>
                <w:kern w:val="0"/>
                <w:szCs w:val="24"/>
              </w:rPr>
              <w:t>）</w:t>
            </w:r>
            <w:proofErr w:type="gramEnd"/>
            <w:r w:rsidRPr="00180146">
              <w:rPr>
                <w:rFonts w:ascii="өũ" w:eastAsia="細明體" w:hAnsi="өũ" w:cs="細明體"/>
                <w:kern w:val="0"/>
                <w:szCs w:val="24"/>
              </w:rPr>
              <w:t>提起行政訴訟。</w:t>
            </w: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</w:p>
          <w:p w:rsidR="00180146" w:rsidRPr="00180146" w:rsidRDefault="00180146" w:rsidP="00180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80146">
              <w:rPr>
                <w:rFonts w:ascii="өũ" w:eastAsia="細明體" w:hAnsi="өũ" w:cs="細明體"/>
                <w:kern w:val="0"/>
                <w:szCs w:val="24"/>
              </w:rPr>
              <w:t>中華民國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101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8 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 xml:space="preserve"> 21 </w:t>
            </w:r>
            <w:r w:rsidRPr="00180146">
              <w:rPr>
                <w:rFonts w:ascii="өũ" w:eastAsia="細明體" w:hAnsi="өũ" w:cs="細明體"/>
                <w:kern w:val="0"/>
                <w:szCs w:val="24"/>
              </w:rPr>
              <w:t>日</w:t>
            </w:r>
          </w:p>
        </w:tc>
      </w:tr>
    </w:tbl>
    <w:p w:rsidR="00750D08" w:rsidRDefault="00750D08"/>
    <w:sectPr w:rsidR="00750D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46"/>
    <w:rsid w:val="00180146"/>
    <w:rsid w:val="0075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146"/>
    <w:rPr>
      <w:strike w:val="0"/>
      <w:dstrike w:val="0"/>
      <w:color w:val="0066CC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1801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80146"/>
    <w:rPr>
      <w:rFonts w:ascii="өũ" w:eastAsia="細明體" w:hAnsi="өũ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146"/>
    <w:rPr>
      <w:strike w:val="0"/>
      <w:dstrike w:val="0"/>
      <w:color w:val="0066CC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1801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80146"/>
    <w:rPr>
      <w:rFonts w:ascii="өũ" w:eastAsia="細明體" w:hAnsi="өũ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law.tpc.gov.tw/Scripts/Query1C.asp?tblname=Ferela&amp;RCode1=Z00000%A5%5F%A9%B2%B6D%A8M++++++++++++1011792895&amp;RCODE2=B0080008&amp;RSU=S&amp;RDATE=201208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law.tpc.gov.tw/Scripts/Query1C.asp?tblname=Ferela&amp;RCode1=Z00000%A5%5F%A9%B2%B6D%A8M++++++++++++1011792895&amp;RCODE2=B0000154&amp;RSU=S&amp;RDATE=201208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.law.tpc.gov.tw/Scripts/Query1C.asp?tblname=Ferela&amp;RCode1=Z00000%A5%5F%A9%B2%B6D%A8M++++++++++++1011792895&amp;RCODE2=B0000014&amp;RSU=S&amp;RDATE=20120821" TargetMode="External"/><Relationship Id="rId5" Type="http://schemas.openxmlformats.org/officeDocument/2006/relationships/hyperlink" Target="http://web.law.tpc.gov.tw/Scripts/Query1C.asp?tblname=Ferela&amp;RCode1=Z00000%A5%5F%A9%B2%B6D%A8M++++++++++++1011792895&amp;RCODE2=&amp;RSU=S&amp;RDATE=201208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1104</Words>
  <Characters>6296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鐘梓豪</dc:creator>
  <cp:lastModifiedBy>鐘梓豪</cp:lastModifiedBy>
  <cp:revision>1</cp:revision>
  <dcterms:created xsi:type="dcterms:W3CDTF">2013-04-15T01:25:00Z</dcterms:created>
  <dcterms:modified xsi:type="dcterms:W3CDTF">2013-04-15T01:38:00Z</dcterms:modified>
</cp:coreProperties>
</file>